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widowControl w:val="0"/>
        <w:adjustRightInd w:val="0"/>
        <w:snapToGrid w:val="0"/>
        <w:spacing w:line="560" w:lineRule="exact"/>
        <w:ind w:left="0" w:right="-20"/>
        <w:rPr>
          <w:rFonts w:ascii="方正黑体_GBK" w:eastAsia="方正黑体_GBK" w:hint="eastAsia"/>
          <w:bCs/>
          <w:snapToGrid w:val="0"/>
          <w:color w:val="000000"/>
          <w:sz w:val="32"/>
          <w:szCs w:val="32"/>
          <w:lang w:eastAsia="zh-CN"/>
        </w:rPr>
      </w:pPr>
      <w:r>
        <w:rPr>
          <w:rFonts w:ascii="方正黑体_GBK" w:eastAsia="方正黑体_GBK" w:hint="eastAsia"/>
          <w:bCs/>
          <w:snapToGrid w:val="0"/>
          <w:color w:val="000000"/>
          <w:sz w:val="32"/>
          <w:szCs w:val="32"/>
        </w:rPr>
        <w:t>附件</w:t>
      </w:r>
      <w:r>
        <w:rPr>
          <w:rFonts w:ascii="方正黑体_GBK" w:eastAsia="方正黑体_GBK" w:hint="eastAsia"/>
          <w:bCs/>
          <w:snapToGrid w:val="0"/>
          <w:color w:val="000000"/>
          <w:sz w:val="32"/>
          <w:szCs w:val="32"/>
          <w:lang w:val="en-US" w:eastAsia="zh-CN"/>
        </w:rPr>
        <w:t>3</w:t>
      </w:r>
    </w:p>
    <w:p>
      <w:pPr>
        <w:pStyle w:val="17"/>
        <w:widowControl w:val="0"/>
        <w:adjustRightInd w:val="0"/>
        <w:snapToGrid w:val="0"/>
        <w:spacing w:line="560" w:lineRule="exact"/>
        <w:ind w:left="0" w:right="-20"/>
        <w:jc w:val="center"/>
        <w:rPr>
          <w:rFonts w:ascii="方正小标宋_GBK" w:eastAsia="方正小标宋_GBK"/>
          <w:bCs/>
          <w:snapToGrid w:val="0"/>
          <w:color w:val="000000"/>
          <w:sz w:val="36"/>
          <w:szCs w:val="36"/>
        </w:rPr>
      </w:pPr>
      <w:r>
        <w:rPr>
          <w:rFonts w:ascii="方正小标宋_GBK" w:eastAsia="方正小标宋_GBK"/>
          <w:bCs/>
          <w:snapToGrid w:val="0"/>
          <w:color w:val="000000"/>
          <w:sz w:val="36"/>
          <w:szCs w:val="36"/>
        </w:rPr>
        <w:t>针对</w:t>
      </w:r>
      <w:r>
        <w:rPr>
          <w:rFonts w:ascii="方正小标宋_GBK" w:eastAsia="方正小标宋_GBK" w:hint="eastAsia"/>
          <w:bCs/>
          <w:snapToGrid w:val="0"/>
          <w:color w:val="000000"/>
          <w:sz w:val="36"/>
          <w:szCs w:val="36"/>
        </w:rPr>
        <w:t>桃蛀果蛾</w:t>
      </w:r>
      <w:r>
        <w:rPr>
          <w:rFonts w:ascii="方正小标宋_GBK" w:eastAsia="方正小标宋_GBK"/>
          <w:bCs/>
          <w:snapToGrid w:val="0"/>
          <w:color w:val="000000"/>
          <w:sz w:val="36"/>
          <w:szCs w:val="36"/>
        </w:rPr>
        <w:t>的</w:t>
      </w:r>
      <w:r>
        <w:rPr>
          <w:rFonts w:ascii="方正小标宋_GBK" w:eastAsia="方正小标宋_GBK" w:hint="eastAsia"/>
          <w:bCs/>
          <w:snapToGrid w:val="0"/>
          <w:color w:val="000000"/>
          <w:sz w:val="36"/>
          <w:szCs w:val="36"/>
        </w:rPr>
        <w:t>系统</w:t>
      </w:r>
      <w:r>
        <w:rPr>
          <w:rFonts w:ascii="方正小标宋_GBK" w:eastAsia="方正小标宋_GBK"/>
          <w:bCs/>
          <w:snapToGrid w:val="0"/>
          <w:color w:val="000000"/>
          <w:sz w:val="36"/>
          <w:szCs w:val="36"/>
        </w:rPr>
        <w:t>措施</w:t>
      </w:r>
    </w:p>
    <w:p>
      <w:pPr>
        <w:pStyle w:val="17"/>
        <w:widowControl w:val="0"/>
        <w:adjustRightInd w:val="0"/>
        <w:snapToGrid w:val="0"/>
        <w:spacing w:line="560" w:lineRule="exact"/>
        <w:ind w:left="0" w:right="-20"/>
        <w:jc w:val="center"/>
        <w:rPr>
          <w:rFonts w:eastAsia="方正黑体_GBK"/>
          <w:bCs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napToGrid w:val="0"/>
          <w:color w:val="000000"/>
          <w:sz w:val="32"/>
          <w:szCs w:val="32"/>
        </w:rPr>
      </w:pPr>
      <w:r>
        <w:rPr>
          <w:rFonts w:eastAsia="方正黑体_GBK"/>
          <w:snapToGrid w:val="0"/>
          <w:color w:val="000000"/>
          <w:sz w:val="32"/>
          <w:szCs w:val="32"/>
        </w:rPr>
        <w:t>一、</w:t>
      </w:r>
      <w:r>
        <w:rPr>
          <w:rFonts w:eastAsia="方正黑体_GBK" w:hint="eastAsia"/>
          <w:snapToGrid w:val="0"/>
          <w:color w:val="000000"/>
          <w:sz w:val="32"/>
          <w:szCs w:val="32"/>
        </w:rPr>
        <w:t>果园</w:t>
      </w:r>
      <w:r>
        <w:rPr>
          <w:rFonts w:eastAsia="方正黑体_GBK"/>
          <w:snapToGrid w:val="0"/>
          <w:color w:val="000000"/>
          <w:sz w:val="32"/>
          <w:szCs w:val="32"/>
        </w:rPr>
        <w:t>管理</w:t>
      </w:r>
      <w:r>
        <w:rPr>
          <w:rFonts w:eastAsia="方正黑体_GBK" w:hint="eastAsia"/>
          <w:snapToGrid w:val="0"/>
          <w:color w:val="000000"/>
          <w:sz w:val="32"/>
          <w:szCs w:val="32"/>
        </w:rPr>
        <w:t>和监</w:t>
      </w:r>
      <w:r>
        <w:rPr>
          <w:rFonts w:eastAsia="方正黑体_GBK"/>
          <w:snapToGrid w:val="0"/>
          <w:color w:val="000000"/>
          <w:sz w:val="32"/>
          <w:szCs w:val="32"/>
        </w:rPr>
        <w:t>测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种植者须实施果园防控措施，如有害生物综合控制措施（IPM）等。措施由</w:t>
      </w:r>
      <w:r>
        <w:rPr>
          <w:rFonts w:eastAsia="方正仿宋_GBK" w:hint="eastAsia"/>
          <w:color w:val="000000"/>
          <w:sz w:val="32"/>
          <w:szCs w:val="32"/>
          <w:shd w:val="clear" w:color="auto" w:fill="FFFFFF"/>
          <w:lang w:eastAsia="zh-CN"/>
        </w:rPr>
        <w:t>中方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批准，并结合田间卫生和适当的农药应用，以防控桃蛀果蛾。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在</w:t>
      </w:r>
      <w:r>
        <w:rPr>
          <w:rFonts w:eastAsia="方正仿宋_GBK" w:hint="eastAsia"/>
          <w:color w:val="000000"/>
          <w:sz w:val="32"/>
          <w:szCs w:val="32"/>
          <w:shd w:val="clear" w:color="auto" w:fill="FFFFFF"/>
          <w:lang w:eastAsia="zh-CN"/>
        </w:rPr>
        <w:t>中方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的监督下，种植者须定期对桃蛀果蛾进行监测调查，以核实措施的有效性，并须使用标准报告格式保存调查结果。如需要，这些结果将提供给</w:t>
      </w:r>
      <w:r>
        <w:rPr>
          <w:rFonts w:eastAsia="方正仿宋_GBK" w:hint="eastAsia"/>
          <w:color w:val="000000"/>
          <w:sz w:val="32"/>
          <w:szCs w:val="32"/>
          <w:shd w:val="clear" w:color="auto" w:fill="FFFFFF"/>
          <w:lang w:eastAsia="zh-CN"/>
        </w:rPr>
        <w:t>澳方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须使用特定的诱捕器开展桃蛀果蛾果园监测，并适时采取防治措施。作为果园防控和监测的重要组成部分，针对桃蛀果蛾的休眠或延迟休眠喷雾须在初花期之前施用，在叶片长到一英寸生长阶段前也须进行喷雾。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napToGrid w:val="0"/>
          <w:color w:val="000000"/>
          <w:sz w:val="32"/>
          <w:szCs w:val="32"/>
        </w:rPr>
      </w:pPr>
      <w:r>
        <w:rPr>
          <w:rFonts w:eastAsia="方正黑体_GBK"/>
          <w:snapToGrid w:val="0"/>
          <w:color w:val="000000"/>
          <w:sz w:val="32"/>
          <w:szCs w:val="32"/>
        </w:rPr>
        <w:t>二、</w:t>
      </w:r>
      <w:r>
        <w:rPr>
          <w:rFonts w:eastAsia="方正黑体_GBK" w:hint="eastAsia"/>
          <w:snapToGrid w:val="0"/>
          <w:color w:val="000000"/>
          <w:sz w:val="32"/>
          <w:szCs w:val="32"/>
        </w:rPr>
        <w:t>剖果检查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对于每批货物，随机选取600个水果进行目视检查，且从这600个水果中取60个水果进行剖果检查，以核实这些水果不带有桃蛀果蛾幼虫，拟剖开的果实可</w:t>
      </w:r>
      <w:r>
        <w:rPr>
          <w:rFonts w:ascii="方正仿宋_GBK" w:eastAsia="方正仿宋_GBK" w:cs="方正仿宋_GBK" w:hint="eastAsia"/>
          <w:color w:val="000000"/>
          <w:sz w:val="32"/>
          <w:szCs w:val="32"/>
          <w:shd w:val="clear" w:color="auto" w:fill="FFFFFF"/>
        </w:rPr>
        <w:t>从“淘汰”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的果实中选取。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 w:hint="eastAsia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如在剖果过程中检测到桃蛀果蛾幼虫，在采取补救行动之前，该批货物不得对澳大利亚出口。</w:t>
      </w:r>
    </w:p>
    <w:p>
      <w:pPr>
        <w:rPr>
          <w:color w:val="000000"/>
        </w:rPr>
      </w:pPr>
    </w:p>
    <w:sectPr>
      <w:headerReference w:type="even" r:id="rId2"/>
      <w:headerReference w:type="first" r:id="rId3"/>
      <w:footerReference w:type="default" r:id="rId4"/>
      <w:footerReference w:type="even" r:id="rId5"/>
      <w:footerReference w:type="first" r:id="rId6"/>
      <w:pgSz w:w="11907" w:h="16839"/>
      <w:pgMar w:top="567" w:right="1418" w:bottom="567" w:left="1701" w:header="851" w:footer="1304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ind w:left="360"/>
      <w:jc w:val="center"/>
      <w:rPr>
        <w:sz w:val="24"/>
        <w:szCs w:val="24"/>
      </w:rPr>
    </w:pPr>
    <w:r>
      <w:rPr>
        <w:rFonts w:eastAsia="方正仿宋_GBK"/>
        <w:color w:val="2A2B2E"/>
        <w:sz w:val="24"/>
        <w:szCs w:val="24"/>
        <w:shd w:val="clear" w:color="auto" w:fill="FFFFFF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Fonts w:eastAsia="方正仿宋_GBK"/>
        <w:color w:val="2A2B2E"/>
        <w:sz w:val="24"/>
        <w:szCs w:val="24"/>
        <w:shd w:val="clear" w:color="auto" w:fill="FFFFFF"/>
      </w:rPr>
      <w:t>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6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5543" cy="376744"/>
              <wp:effectExtent l="0" t="0" r="0" b="0"/>
              <wp:wrapNone/>
              <wp:docPr id="7" name="Text Box 5" descr="OFFICIAL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5543" cy="37674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8">
                      <w:txbxContent>
                        <w:p>
                          <w:pP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vert="horz" wrap="none" lIns="0" tIns="0" rIns="0" bIns="190511" anchor="b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Text Box 5 9" o:spid="_x0000_s9" filled="f" stroked="f" alt="OFFICIAL" style="position:absolute;margin-left:0.0pt;margin-top:0.0pt;width:43.743553pt;height:29.664946pt;z-index:16;mso-position-horizontal:center;mso-position-horizontal-relative:page;mso-position-vertical:bottom;mso-position-vertical-relative:page;mso-wrap-distance-left:8.999863pt;mso-wrap-distance-right:8.999863pt;mso-wrap-style:none;">
              <v:stroke color="#000000"/>
              <v:textbox id="850" inset="0mm,0mm,0mm,5.292mm" o:insetmode="custom" style="layout-flow:horizontal;v-text-anchor:bottom;mso-fit-shape-to-text:t;">
                <w:txbxContent>
                  <w:p>
                    <w:pP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5543" cy="376744"/>
              <wp:effectExtent l="0" t="0" r="0" b="0"/>
              <wp:wrapNone/>
              <wp:docPr id="10" name="Text Box 4" descr="OFFICIAL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5543" cy="37674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11">
                      <w:txbxContent>
                        <w:p>
                          <w:pP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vert="horz" wrap="none" lIns="0" tIns="0" rIns="0" bIns="190511" anchor="b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Text Box 4 12" o:spid="_x0000_s12" filled="f" stroked="f" alt="OFFICIAL" style="position:absolute;margin-left:0.0pt;margin-top:0.0pt;width:43.743553pt;height:29.664946pt;z-index:15;mso-position-horizontal:center;mso-position-horizontal-relative:page;mso-position-vertical:bottom;mso-position-vertical-relative:page;mso-wrap-distance-left:8.999863pt;mso-wrap-distance-right:8.999863pt;mso-wrap-style:none;">
              <v:stroke color="#000000"/>
              <v:textbox id="851" inset="0mm,0mm,0mm,5.292mm" o:insetmode="custom" style="layout-flow:horizontal;v-text-anchor:bottom;mso-fit-shape-to-text:t;">
                <w:txbxContent>
                  <w:p>
                    <w:pP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4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5543" cy="376744"/>
              <wp:effectExtent l="0" t="0" r="0" b="0"/>
              <wp:wrapNone/>
              <wp:docPr id="1" name="Text Box 2" descr="OFFICIAL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5543" cy="37674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vert="horz" wrap="none" lIns="0" tIns="190511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Text Box 2 3" o:spid="_x0000_s3" filled="f" stroked="f" alt="OFFICIAL" style="position:absolute;margin-left:0.0pt;margin-top:0.0pt;width:43.743553pt;height:29.664946pt;z-index:14;mso-position-horizontal:center;mso-position-horizontal-relative:page;mso-position-vertical:top;mso-position-vertical-relative:page;mso-wrap-distance-left:8.999863pt;mso-wrap-distance-right:8.999863pt;mso-wrap-style:none;">
              <v:stroke color="#000000"/>
              <v:textbox id="848" inset="0mm,5.292mm,0mm,0mm" o:insetmode="custom" style="layout-flow:horizontal;v-text-anchor:top;mso-fit-shape-to-text:t;">
                <w:txbxContent>
                  <w:p>
                    <w:pP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5543" cy="376744"/>
              <wp:effectExtent l="0" t="0" r="0" b="0"/>
              <wp:wrapNone/>
              <wp:docPr id="4" name="Text Box 1" descr="OFFICIAL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5543" cy="37674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cs="Calibri" w:hAnsi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vert="horz" wrap="none" lIns="0" tIns="190511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Text Box 1 6" o:spid="_x0000_s6" filled="f" stroked="f" alt="OFFICIAL" style="position:absolute;margin-left:0.0pt;margin-top:0.0pt;width:43.743553pt;height:29.664946pt;z-index:13;mso-position-horizontal:center;mso-position-horizontal-relative:page;mso-position-vertical:top;mso-position-vertical-relative:page;mso-wrap-distance-left:8.999863pt;mso-wrap-distance-right:8.999863pt;mso-wrap-style:none;">
              <v:stroke color="#000000"/>
              <v:textbox id="849" inset="0mm,5.292mm,0mm,0mm" o:insetmode="custom" style="layout-flow:horizontal;v-text-anchor:top;mso-fit-shape-to-text:t;">
                <w:txbxContent>
                  <w:p>
                    <w:pP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cs="Calibri" w:hAnsi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List Paragraph1"/>
    <w:basedOn w:val="0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18">
    <w:name w:val="样式 小四"/>
    <w:pPr>
      <w:widowControl/>
      <w:ind w:left="720"/>
      <w:jc w:val="left"/>
    </w:pPr>
    <w:rPr>
      <w:rFonts w:ascii="Times New Roman" w:eastAsia="宋体" w:cs="Times New Roman" w:hAnsi="Times New Roman"/>
      <w:kern w:val="0"/>
      <w:sz w:val="24"/>
      <w:szCs w:val="24"/>
      <w:lang w:val="en-US" w:eastAsia="zh-CN" w:bidi="ar-SA"/>
    </w:rPr>
  </w:style>
  <w:style w:type="paragraph" w:customStyle="1" w:styleId="19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53</TotalTime>
  <Application>Yozo_Office</Application>
  <Pages>1</Pages>
  <Words>11</Words>
  <Characters>11</Characters>
  <Lines>1</Lines>
  <Paragraphs>1</Paragraphs>
  <CharactersWithSpaces>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li_yuqian</dc:creator>
  <cp:lastModifiedBy>刘玮娜</cp:lastModifiedBy>
  <cp:revision>1</cp:revision>
  <dcterms:created xsi:type="dcterms:W3CDTF">2025-07-16T09:05:00Z</dcterms:created>
  <dcterms:modified xsi:type="dcterms:W3CDTF">2025-08-04T09:46:42Z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9D077C91B8D64B5DAD5824CA5D6F4DA5_11</vt:lpwstr>
  </property>
</Properties>
</file>